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7F46" w:rsidRPr="008E7F46" w:rsidRDefault="00E565B1" w:rsidP="008E7F4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на территории Волгоградской области обследовано 283 пункта</w:t>
      </w:r>
      <w:r w:rsidR="00403BB2">
        <w:rPr>
          <w:rFonts w:ascii="Times New Roman" w:hAnsi="Times New Roman"/>
          <w:b/>
          <w:sz w:val="28"/>
          <w:szCs w:val="28"/>
        </w:rPr>
        <w:t xml:space="preserve"> </w:t>
      </w:r>
      <w:r w:rsidR="00403BB2" w:rsidRPr="00403BB2">
        <w:rPr>
          <w:rFonts w:ascii="Times New Roman" w:hAnsi="Times New Roman"/>
          <w:b/>
          <w:sz w:val="28"/>
          <w:szCs w:val="28"/>
        </w:rPr>
        <w:t>государственной геодезической сети</w:t>
      </w:r>
      <w:r w:rsidR="00403BB2">
        <w:rPr>
          <w:rFonts w:ascii="Times New Roman" w:hAnsi="Times New Roman"/>
          <w:b/>
          <w:sz w:val="28"/>
          <w:szCs w:val="28"/>
        </w:rPr>
        <w:t xml:space="preserve"> </w:t>
      </w:r>
    </w:p>
    <w:p w:rsidR="008E7F46" w:rsidRPr="008E7F46" w:rsidRDefault="008E7F46" w:rsidP="008E7F4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3BB2" w:rsidRDefault="00403BB2" w:rsidP="00403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>Волгоградская область как субъект Российской Федерации является участником государственной программы Российской Федерации «Национальная система пространственных данных». Приоритетным направлением данной программы является обследование и проверки сохранности на местности пунктов государственной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сети (ГГС) и </w:t>
      </w:r>
      <w:r w:rsidRPr="009D12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нивелирной сети (ГНС)</w:t>
      </w:r>
      <w:r w:rsidRPr="009D128D">
        <w:rPr>
          <w:rFonts w:ascii="Times New Roman" w:hAnsi="Times New Roman" w:cs="Times New Roman"/>
          <w:sz w:val="28"/>
          <w:szCs w:val="28"/>
        </w:rPr>
        <w:t>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B2" w:rsidRPr="00485671" w:rsidRDefault="00403BB2" w:rsidP="00403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расположено 3295 пунктов </w:t>
      </w:r>
      <w:r w:rsidR="00073DBE">
        <w:rPr>
          <w:rFonts w:ascii="Times New Roman" w:hAnsi="Times New Roman" w:cs="Times New Roman"/>
          <w:sz w:val="28"/>
          <w:szCs w:val="28"/>
        </w:rPr>
        <w:t>ГГС</w:t>
      </w:r>
      <w:bookmarkStart w:id="0" w:name="_GoBack"/>
      <w:bookmarkEnd w:id="0"/>
      <w:r w:rsidRPr="00485671">
        <w:rPr>
          <w:rFonts w:ascii="Times New Roman" w:hAnsi="Times New Roman" w:cs="Times New Roman"/>
          <w:sz w:val="28"/>
          <w:szCs w:val="28"/>
        </w:rPr>
        <w:t xml:space="preserve">. За период с 2017 по 2021 было обследовано 1520 пунктов ГГС. На 2022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56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71">
        <w:rPr>
          <w:rFonts w:ascii="Times New Roman" w:hAnsi="Times New Roman" w:cs="Times New Roman"/>
          <w:sz w:val="28"/>
          <w:szCs w:val="28"/>
        </w:rPr>
        <w:t xml:space="preserve"> 667 пунктов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20% от общего числа пунктов, расположенных на территории области. На 15.08.20022 проведено обследование 283</w:t>
      </w:r>
      <w:r w:rsidRPr="009D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2022-08-18T06:17:00Z</dcterms:created>
  <dcterms:modified xsi:type="dcterms:W3CDTF">2022-08-18T06:56:00Z</dcterms:modified>
</cp:coreProperties>
</file>